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713DA" w14:textId="0EBA199C" w:rsidR="002C738D" w:rsidRDefault="002C738D" w:rsidP="00AD521F">
      <w:pPr>
        <w:spacing w:after="0" w:line="240" w:lineRule="auto"/>
        <w:rPr>
          <w:rFonts w:ascii="Calibri" w:eastAsia="Aptos" w:hAnsi="Calibri" w:cs="Calibri"/>
          <w:kern w:val="0"/>
          <w14:ligatures w14:val="none"/>
        </w:rPr>
      </w:pPr>
      <w:r w:rsidRPr="002C738D">
        <w:rPr>
          <w:rFonts w:ascii="Calibri" w:eastAsia="Aptos" w:hAnsi="Calibri" w:cs="Calibri"/>
          <w:kern w:val="0"/>
          <w14:ligatures w14:val="none"/>
        </w:rPr>
        <w:t>KOLLEKTIIVLÄBIRÄÄKIMISTE EDENDAMISE TEGEVUSKAVA</w:t>
      </w:r>
    </w:p>
    <w:p w14:paraId="4475FC48" w14:textId="77777777" w:rsidR="004149B6" w:rsidRDefault="004149B6" w:rsidP="00AD521F">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EAKL seisukohad </w:t>
      </w:r>
    </w:p>
    <w:p w14:paraId="21FF1926" w14:textId="0643FA5F" w:rsidR="00AD521F" w:rsidRDefault="00B53438" w:rsidP="00AD521F">
      <w:pPr>
        <w:spacing w:after="0" w:line="240" w:lineRule="auto"/>
        <w:rPr>
          <w:rFonts w:ascii="Calibri" w:eastAsia="Aptos" w:hAnsi="Calibri" w:cs="Calibri"/>
          <w:kern w:val="0"/>
          <w14:ligatures w14:val="none"/>
        </w:rPr>
      </w:pPr>
      <w:r>
        <w:rPr>
          <w:rFonts w:ascii="Calibri" w:eastAsia="Aptos" w:hAnsi="Calibri" w:cs="Calibri"/>
          <w:kern w:val="0"/>
          <w14:ligatures w14:val="none"/>
        </w:rPr>
        <w:t>13.</w:t>
      </w:r>
      <w:r w:rsidR="002C738D">
        <w:rPr>
          <w:rFonts w:ascii="Calibri" w:eastAsia="Aptos" w:hAnsi="Calibri" w:cs="Calibri"/>
          <w:kern w:val="0"/>
          <w14:ligatures w14:val="none"/>
        </w:rPr>
        <w:t xml:space="preserve"> mai 2024 </w:t>
      </w:r>
    </w:p>
    <w:p w14:paraId="32F31A0F" w14:textId="77777777" w:rsidR="002C738D" w:rsidRDefault="002C738D" w:rsidP="00AD521F">
      <w:pPr>
        <w:spacing w:after="0" w:line="240" w:lineRule="auto"/>
        <w:rPr>
          <w:rFonts w:ascii="Calibri" w:eastAsia="Aptos" w:hAnsi="Calibri" w:cs="Calibri"/>
          <w:kern w:val="0"/>
          <w14:ligatures w14:val="none"/>
        </w:rPr>
      </w:pPr>
    </w:p>
    <w:p w14:paraId="0CE2D880" w14:textId="77777777" w:rsidR="002C738D" w:rsidRDefault="002C738D" w:rsidP="00AD521F">
      <w:pPr>
        <w:spacing w:after="0" w:line="240" w:lineRule="auto"/>
        <w:rPr>
          <w:rFonts w:ascii="Calibri" w:eastAsia="Aptos" w:hAnsi="Calibri" w:cs="Calibri"/>
          <w:kern w:val="0"/>
          <w14:ligatures w14:val="none"/>
        </w:rPr>
      </w:pPr>
    </w:p>
    <w:p w14:paraId="47E1F583" w14:textId="0FBC1B7C" w:rsidR="0041293C" w:rsidRPr="0041293C" w:rsidRDefault="002C738D" w:rsidP="0041293C">
      <w:pPr>
        <w:spacing w:after="0" w:line="240" w:lineRule="auto"/>
        <w:jc w:val="both"/>
        <w:rPr>
          <w:rFonts w:ascii="Calibri" w:eastAsia="Aptos" w:hAnsi="Calibri" w:cs="Calibri"/>
          <w:kern w:val="0"/>
          <w14:ligatures w14:val="none"/>
        </w:rPr>
      </w:pPr>
      <w:r w:rsidRPr="00FC5D9E">
        <w:rPr>
          <w:rFonts w:ascii="Calibri" w:eastAsia="Aptos" w:hAnsi="Calibri" w:cs="Calibri"/>
          <w:kern w:val="0"/>
          <w14:ligatures w14:val="none"/>
        </w:rPr>
        <w:t xml:space="preserve">Teeme ettepaneku lisada Kollektiivläbirääkimiste edendamise tegevuskavva 2024 – 2025. aastaks </w:t>
      </w:r>
    </w:p>
    <w:p w14:paraId="71F790E9" w14:textId="77777777" w:rsidR="0041293C" w:rsidRDefault="0041293C" w:rsidP="0041293C">
      <w:pPr>
        <w:pStyle w:val="Loendilik"/>
        <w:spacing w:after="0" w:line="240" w:lineRule="auto"/>
        <w:jc w:val="both"/>
        <w:rPr>
          <w:rFonts w:ascii="Calibri" w:eastAsia="Aptos" w:hAnsi="Calibri" w:cs="Calibri"/>
          <w:kern w:val="0"/>
          <w14:ligatures w14:val="none"/>
        </w:rPr>
      </w:pPr>
    </w:p>
    <w:p w14:paraId="7119B97B" w14:textId="1CDE1E8D" w:rsidR="002C738D" w:rsidRPr="0041293C" w:rsidRDefault="0041293C" w:rsidP="00D04581">
      <w:pPr>
        <w:pStyle w:val="Loendilik"/>
        <w:numPr>
          <w:ilvl w:val="0"/>
          <w:numId w:val="6"/>
        </w:numPr>
        <w:spacing w:after="0" w:line="240" w:lineRule="auto"/>
        <w:jc w:val="both"/>
        <w:rPr>
          <w:rFonts w:ascii="Calibri" w:eastAsia="Aptos" w:hAnsi="Calibri" w:cs="Calibri"/>
          <w:kern w:val="0"/>
          <w14:ligatures w14:val="none"/>
        </w:rPr>
      </w:pPr>
      <w:r w:rsidRPr="0041293C">
        <w:rPr>
          <w:rFonts w:ascii="Calibri" w:eastAsia="Aptos" w:hAnsi="Calibri" w:cs="Calibri"/>
          <w:kern w:val="0"/>
          <w14:ligatures w14:val="none"/>
        </w:rPr>
        <w:t>U</w:t>
      </w:r>
      <w:r w:rsidR="00F7695F" w:rsidRPr="0041293C">
        <w:rPr>
          <w:rFonts w:ascii="Calibri" w:eastAsia="Aptos" w:hAnsi="Calibri" w:cs="Calibri"/>
          <w:kern w:val="0"/>
          <w14:ligatures w14:val="none"/>
        </w:rPr>
        <w:t xml:space="preserve">us </w:t>
      </w:r>
      <w:r w:rsidR="002C738D" w:rsidRPr="0041293C">
        <w:rPr>
          <w:rFonts w:ascii="Calibri" w:eastAsia="Aptos" w:hAnsi="Calibri" w:cs="Calibri"/>
          <w:kern w:val="0"/>
          <w14:ligatures w14:val="none"/>
        </w:rPr>
        <w:t>punkt</w:t>
      </w:r>
      <w:r>
        <w:rPr>
          <w:rFonts w:ascii="Calibri" w:eastAsia="Aptos" w:hAnsi="Calibri" w:cs="Calibri"/>
          <w:kern w:val="0"/>
          <w14:ligatures w14:val="none"/>
        </w:rPr>
        <w:t xml:space="preserve"> 5.</w:t>
      </w:r>
      <w:r w:rsidR="002C738D" w:rsidRPr="0041293C">
        <w:rPr>
          <w:rFonts w:ascii="Calibri" w:eastAsia="Aptos" w:hAnsi="Calibri" w:cs="Calibri"/>
          <w:kern w:val="0"/>
          <w14:ligatures w14:val="none"/>
        </w:rPr>
        <w:t xml:space="preserve">  järgmises sõnastuses:</w:t>
      </w:r>
    </w:p>
    <w:p w14:paraId="67DB5C08" w14:textId="77777777" w:rsidR="008E33A4" w:rsidRDefault="008E33A4" w:rsidP="00D04581">
      <w:pPr>
        <w:spacing w:after="0" w:line="240" w:lineRule="auto"/>
        <w:jc w:val="both"/>
        <w:rPr>
          <w:rFonts w:ascii="Calibri" w:eastAsia="Aptos" w:hAnsi="Calibri" w:cs="Calibri"/>
          <w:kern w:val="0"/>
          <w14:ligatures w14:val="none"/>
        </w:rPr>
      </w:pPr>
    </w:p>
    <w:p w14:paraId="1E258017" w14:textId="058F5C7A" w:rsidR="00772A37" w:rsidRDefault="00D04581" w:rsidP="00D04581">
      <w:pPr>
        <w:spacing w:after="0" w:line="240" w:lineRule="auto"/>
        <w:jc w:val="both"/>
        <w:rPr>
          <w:rFonts w:ascii="Calibri" w:eastAsia="Aptos" w:hAnsi="Calibri" w:cs="Calibri"/>
          <w:kern w:val="0"/>
          <w14:ligatures w14:val="none"/>
        </w:rPr>
      </w:pPr>
      <w:r w:rsidRPr="008E33A4">
        <w:rPr>
          <w:rFonts w:ascii="Calibri" w:eastAsia="Aptos" w:hAnsi="Calibri" w:cs="Calibri"/>
          <w:kern w:val="0"/>
          <w14:ligatures w14:val="none"/>
        </w:rPr>
        <w:t>Riigi poolne</w:t>
      </w:r>
      <w:r w:rsidRPr="00FC5D9E">
        <w:rPr>
          <w:rFonts w:ascii="Calibri" w:eastAsia="Aptos" w:hAnsi="Calibri" w:cs="Calibri"/>
          <w:kern w:val="0"/>
          <w14:ligatures w14:val="none"/>
        </w:rPr>
        <w:t xml:space="preserve"> l</w:t>
      </w:r>
      <w:r w:rsidR="002C738D" w:rsidRPr="00FC5D9E">
        <w:rPr>
          <w:rFonts w:ascii="Calibri" w:eastAsia="Aptos" w:hAnsi="Calibri" w:cs="Calibri"/>
          <w:kern w:val="0"/>
          <w14:ligatures w14:val="none"/>
        </w:rPr>
        <w:t>aienda</w:t>
      </w:r>
      <w:r w:rsidR="00772A37" w:rsidRPr="00FC5D9E">
        <w:rPr>
          <w:rFonts w:ascii="Calibri" w:eastAsia="Aptos" w:hAnsi="Calibri" w:cs="Calibri"/>
          <w:kern w:val="0"/>
          <w14:ligatures w14:val="none"/>
        </w:rPr>
        <w:t>ta</w:t>
      </w:r>
      <w:r w:rsidR="002C738D" w:rsidRPr="00FC5D9E">
        <w:rPr>
          <w:rFonts w:ascii="Calibri" w:eastAsia="Aptos" w:hAnsi="Calibri" w:cs="Calibri"/>
          <w:kern w:val="0"/>
          <w14:ligatures w14:val="none"/>
        </w:rPr>
        <w:t>vate kollektiivlepingute osapoolte toetamine selliste lepingute</w:t>
      </w:r>
      <w:r w:rsidR="00772A37" w:rsidRPr="00FC5D9E">
        <w:rPr>
          <w:rFonts w:ascii="Calibri" w:eastAsia="Aptos" w:hAnsi="Calibri" w:cs="Calibri"/>
          <w:kern w:val="0"/>
          <w14:ligatures w14:val="none"/>
        </w:rPr>
        <w:t xml:space="preserve"> läbirääkimiste teavituse ja kokkulepete </w:t>
      </w:r>
      <w:r w:rsidR="001C42FE" w:rsidRPr="00FC5D9E">
        <w:rPr>
          <w:rFonts w:ascii="Calibri" w:eastAsia="Aptos" w:hAnsi="Calibri" w:cs="Calibri"/>
          <w:kern w:val="0"/>
          <w14:ligatures w14:val="none"/>
        </w:rPr>
        <w:t>kohta laiema informatsiooni ning</w:t>
      </w:r>
      <w:r w:rsidR="00772A37" w:rsidRPr="00FC5D9E">
        <w:rPr>
          <w:rFonts w:ascii="Calibri" w:eastAsia="Aptos" w:hAnsi="Calibri" w:cs="Calibri"/>
          <w:kern w:val="0"/>
          <w14:ligatures w14:val="none"/>
        </w:rPr>
        <w:t xml:space="preserve"> </w:t>
      </w:r>
      <w:r w:rsidR="002C738D" w:rsidRPr="00FC5D9E">
        <w:rPr>
          <w:rFonts w:ascii="Calibri" w:eastAsia="Aptos" w:hAnsi="Calibri" w:cs="Calibri"/>
          <w:kern w:val="0"/>
          <w14:ligatures w14:val="none"/>
        </w:rPr>
        <w:t xml:space="preserve">praktilise ja abistava infomaterjali </w:t>
      </w:r>
      <w:r w:rsidR="008E33A4">
        <w:rPr>
          <w:rFonts w:ascii="Calibri" w:eastAsia="Aptos" w:hAnsi="Calibri" w:cs="Calibri"/>
          <w:kern w:val="0"/>
          <w14:ligatures w14:val="none"/>
        </w:rPr>
        <w:t>ettevalmistamisel</w:t>
      </w:r>
      <w:r w:rsidR="00772A37" w:rsidRPr="00FC5D9E">
        <w:rPr>
          <w:rFonts w:ascii="Calibri" w:eastAsia="Aptos" w:hAnsi="Calibri" w:cs="Calibri"/>
          <w:kern w:val="0"/>
          <w14:ligatures w14:val="none"/>
        </w:rPr>
        <w:t xml:space="preserve">. </w:t>
      </w:r>
    </w:p>
    <w:p w14:paraId="1ADD45D6" w14:textId="77777777" w:rsidR="008E33A4" w:rsidRPr="00FC5D9E" w:rsidRDefault="008E33A4" w:rsidP="00D04581">
      <w:pPr>
        <w:spacing w:after="0" w:line="240" w:lineRule="auto"/>
        <w:jc w:val="both"/>
        <w:rPr>
          <w:rFonts w:ascii="Calibri" w:eastAsia="Aptos" w:hAnsi="Calibri" w:cs="Calibri"/>
          <w:kern w:val="0"/>
          <w14:ligatures w14:val="none"/>
        </w:rPr>
      </w:pPr>
    </w:p>
    <w:p w14:paraId="3339EE5E" w14:textId="6D0FDEB6" w:rsidR="00772A37" w:rsidRPr="00FC5D9E" w:rsidRDefault="00772A37" w:rsidP="00D04581">
      <w:pPr>
        <w:spacing w:after="0" w:line="240" w:lineRule="auto"/>
        <w:jc w:val="both"/>
        <w:rPr>
          <w:rFonts w:ascii="Calibri" w:eastAsia="Aptos" w:hAnsi="Calibri" w:cs="Calibri"/>
          <w:kern w:val="0"/>
          <w14:ligatures w14:val="none"/>
        </w:rPr>
      </w:pPr>
      <w:r w:rsidRPr="00FC5D9E">
        <w:rPr>
          <w:rFonts w:ascii="Calibri" w:eastAsia="Aptos" w:hAnsi="Calibri" w:cs="Calibri"/>
          <w:kern w:val="0"/>
          <w14:ligatures w14:val="none"/>
        </w:rPr>
        <w:t xml:space="preserve">Põhjendus: </w:t>
      </w:r>
      <w:bookmarkStart w:id="0" w:name="_Hlk166164670"/>
      <w:r w:rsidRPr="00FC5D9E">
        <w:rPr>
          <w:rFonts w:ascii="Calibri" w:eastAsia="Aptos" w:hAnsi="Calibri" w:cs="Calibri"/>
          <w:kern w:val="0"/>
          <w14:ligatures w14:val="none"/>
        </w:rPr>
        <w:t>KLS § 4</w:t>
      </w:r>
      <w:r w:rsidRPr="00FC5D9E">
        <w:rPr>
          <w:rFonts w:ascii="Calibri" w:eastAsia="Aptos" w:hAnsi="Calibri" w:cs="Calibri"/>
          <w:kern w:val="0"/>
          <w:vertAlign w:val="superscript"/>
          <w14:ligatures w14:val="none"/>
        </w:rPr>
        <w:t xml:space="preserve">3  </w:t>
      </w:r>
      <w:r w:rsidRPr="00FC5D9E">
        <w:rPr>
          <w:rFonts w:ascii="Calibri" w:eastAsia="Aptos" w:hAnsi="Calibri" w:cs="Calibri"/>
          <w:kern w:val="0"/>
          <w14:ligatures w14:val="none"/>
        </w:rPr>
        <w:t>lg 3</w:t>
      </w:r>
      <w:r w:rsidR="009469EF">
        <w:rPr>
          <w:rFonts w:ascii="Calibri" w:eastAsia="Aptos" w:hAnsi="Calibri" w:cs="Calibri"/>
          <w:kern w:val="0"/>
          <w14:ligatures w14:val="none"/>
        </w:rPr>
        <w:t xml:space="preserve"> ja lg 6</w:t>
      </w:r>
      <w:r w:rsidRPr="00FC5D9E">
        <w:rPr>
          <w:rFonts w:ascii="Calibri" w:eastAsia="Aptos" w:hAnsi="Calibri" w:cs="Calibri"/>
          <w:kern w:val="0"/>
          <w14:ligatures w14:val="none"/>
        </w:rPr>
        <w:t xml:space="preserve"> kohustab läbirääkimiste pooli teavitama avalikkust üleriigilise levikuga meediakanali vahendusel oma läbirääkimise</w:t>
      </w:r>
      <w:r w:rsidR="00492007">
        <w:rPr>
          <w:rFonts w:ascii="Calibri" w:eastAsia="Aptos" w:hAnsi="Calibri" w:cs="Calibri"/>
          <w:kern w:val="0"/>
          <w14:ligatures w14:val="none"/>
        </w:rPr>
        <w:t xml:space="preserve"> alustamise</w:t>
      </w:r>
      <w:r w:rsidRPr="00FC5D9E">
        <w:rPr>
          <w:rFonts w:ascii="Calibri" w:eastAsia="Aptos" w:hAnsi="Calibri" w:cs="Calibri"/>
          <w:kern w:val="0"/>
          <w14:ligatures w14:val="none"/>
        </w:rPr>
        <w:t xml:space="preserve"> kavatsusest</w:t>
      </w:r>
      <w:bookmarkEnd w:id="0"/>
      <w:r w:rsidRPr="00FC5D9E">
        <w:rPr>
          <w:rFonts w:ascii="Calibri" w:eastAsia="Aptos" w:hAnsi="Calibri" w:cs="Calibri"/>
          <w:kern w:val="0"/>
          <w14:ligatures w14:val="none"/>
        </w:rPr>
        <w:t xml:space="preserve">, samuti vajab sõlmitud leping osapooltelt laiemat tutvustamist, mis täna tähendab sotsiaalpartneritele märgatavat finantsilist väljaminekut. Samas miinimumpalga direktiivi eesmärke silmas pidades on selliste lepingute laiem tutvustamine hädavajalik. </w:t>
      </w:r>
    </w:p>
    <w:p w14:paraId="66A47D95" w14:textId="77777777" w:rsidR="00793B11" w:rsidRPr="00FC5D9E" w:rsidRDefault="00793B11" w:rsidP="00D04581">
      <w:pPr>
        <w:spacing w:after="0" w:line="240" w:lineRule="auto"/>
        <w:jc w:val="both"/>
        <w:rPr>
          <w:rFonts w:ascii="Calibri" w:eastAsia="Aptos" w:hAnsi="Calibri" w:cs="Calibri"/>
          <w:kern w:val="0"/>
          <w14:ligatures w14:val="none"/>
        </w:rPr>
      </w:pPr>
    </w:p>
    <w:p w14:paraId="7F734ADD" w14:textId="4F72AA73" w:rsidR="002C738D" w:rsidRPr="00FC5D9E" w:rsidRDefault="00793B11" w:rsidP="00D04581">
      <w:pPr>
        <w:spacing w:after="0" w:line="240" w:lineRule="auto"/>
        <w:jc w:val="both"/>
        <w:rPr>
          <w:rFonts w:ascii="Calibri" w:eastAsia="Aptos" w:hAnsi="Calibri" w:cs="Calibri"/>
          <w:kern w:val="0"/>
          <w14:ligatures w14:val="none"/>
        </w:rPr>
      </w:pPr>
      <w:r w:rsidRPr="00FC5D9E">
        <w:rPr>
          <w:rFonts w:ascii="Calibri" w:eastAsia="Aptos" w:hAnsi="Calibri" w:cs="Calibri"/>
          <w:kern w:val="0"/>
          <w14:ligatures w14:val="none"/>
        </w:rPr>
        <w:t>E</w:t>
      </w:r>
      <w:r w:rsidR="001C42FE" w:rsidRPr="00FC5D9E">
        <w:rPr>
          <w:rFonts w:ascii="Calibri" w:eastAsia="Aptos" w:hAnsi="Calibri" w:cs="Calibri"/>
          <w:kern w:val="0"/>
          <w14:ligatures w14:val="none"/>
        </w:rPr>
        <w:t>sitatud küsimuse</w:t>
      </w:r>
      <w:r w:rsidRPr="00FC5D9E">
        <w:rPr>
          <w:rFonts w:ascii="Calibri" w:eastAsia="Aptos" w:hAnsi="Calibri" w:cs="Calibri"/>
          <w:kern w:val="0"/>
          <w14:ligatures w14:val="none"/>
        </w:rPr>
        <w:t>d</w:t>
      </w:r>
      <w:r w:rsidR="001C42FE" w:rsidRPr="00FC5D9E">
        <w:rPr>
          <w:rFonts w:ascii="Calibri" w:eastAsia="Aptos" w:hAnsi="Calibri" w:cs="Calibri"/>
          <w:kern w:val="0"/>
          <w14:ligatures w14:val="none"/>
        </w:rPr>
        <w:t>:</w:t>
      </w:r>
    </w:p>
    <w:p w14:paraId="5D21842F" w14:textId="77777777" w:rsidR="00AD521F" w:rsidRPr="00FC5D9E" w:rsidRDefault="00AD521F" w:rsidP="00D04581">
      <w:pPr>
        <w:spacing w:after="0" w:line="240" w:lineRule="auto"/>
        <w:jc w:val="both"/>
        <w:rPr>
          <w:rFonts w:ascii="Calibri" w:eastAsia="Aptos" w:hAnsi="Calibri" w:cs="Calibri"/>
          <w:kern w:val="0"/>
          <w14:ligatures w14:val="none"/>
        </w:rPr>
      </w:pPr>
    </w:p>
    <w:p w14:paraId="69D8E832" w14:textId="77777777" w:rsidR="00AD521F" w:rsidRPr="00FC5D9E" w:rsidRDefault="00AD521F" w:rsidP="00D04581">
      <w:pPr>
        <w:numPr>
          <w:ilvl w:val="0"/>
          <w:numId w:val="1"/>
        </w:numPr>
        <w:spacing w:after="0" w:line="240" w:lineRule="auto"/>
        <w:jc w:val="both"/>
        <w:rPr>
          <w:rFonts w:ascii="Calibri" w:eastAsia="Times New Roman" w:hAnsi="Calibri" w:cs="Calibri"/>
          <w:kern w:val="0"/>
        </w:rPr>
      </w:pPr>
      <w:r w:rsidRPr="00FC5D9E">
        <w:rPr>
          <w:rFonts w:ascii="Calibri" w:eastAsia="Times New Roman" w:hAnsi="Calibri" w:cs="Calibri"/>
          <w:kern w:val="0"/>
        </w:rPr>
        <w:t>Milliste töötingimuste osas võiks olla täiendavalt võimalik seadusest kollektiivlepinguga erisusi teha (nt nagu täna on erisused TLS § 46 lg 2, TLS § 51 lg 3 jne)? Palume konkreetseid ettepanekuid, milliste erisuste loomiseks tööturu osapooled vajadust näevad.</w:t>
      </w:r>
    </w:p>
    <w:p w14:paraId="292FBF41" w14:textId="77777777" w:rsidR="009F4B02" w:rsidRPr="00FC5D9E" w:rsidRDefault="009F4B02" w:rsidP="00D04581">
      <w:pPr>
        <w:spacing w:after="0" w:line="240" w:lineRule="auto"/>
        <w:jc w:val="both"/>
        <w:rPr>
          <w:rFonts w:ascii="Calibri" w:eastAsia="Times New Roman" w:hAnsi="Calibri" w:cs="Calibri"/>
          <w:kern w:val="0"/>
        </w:rPr>
      </w:pPr>
    </w:p>
    <w:p w14:paraId="2CB94C1B" w14:textId="24D932BE" w:rsidR="00DD16C9" w:rsidRDefault="00C9759B" w:rsidP="00D04581">
      <w:pPr>
        <w:spacing w:after="0" w:line="240" w:lineRule="auto"/>
        <w:jc w:val="both"/>
        <w:rPr>
          <w:rFonts w:ascii="Calibri" w:eastAsia="Times New Roman" w:hAnsi="Calibri" w:cs="Calibri"/>
          <w:kern w:val="0"/>
        </w:rPr>
      </w:pPr>
      <w:r w:rsidRPr="00FC5D9E">
        <w:rPr>
          <w:rFonts w:ascii="Calibri" w:eastAsia="Times New Roman" w:hAnsi="Calibri" w:cs="Calibri"/>
          <w:kern w:val="0"/>
        </w:rPr>
        <w:t xml:space="preserve">TLS § 46 lg 2 osas </w:t>
      </w:r>
      <w:r w:rsidR="00492007">
        <w:rPr>
          <w:rFonts w:ascii="Calibri" w:eastAsia="Times New Roman" w:hAnsi="Calibri" w:cs="Calibri"/>
          <w:kern w:val="0"/>
        </w:rPr>
        <w:t>on arutatud</w:t>
      </w:r>
      <w:r w:rsidRPr="00FC5D9E">
        <w:rPr>
          <w:rFonts w:ascii="Calibri" w:eastAsia="Times New Roman" w:hAnsi="Calibri" w:cs="Calibri"/>
          <w:kern w:val="0"/>
        </w:rPr>
        <w:t xml:space="preserve"> teedeehituse valdkonna</w:t>
      </w:r>
      <w:r w:rsidR="00793B11" w:rsidRPr="00FC5D9E">
        <w:rPr>
          <w:rFonts w:ascii="Calibri" w:eastAsia="Times New Roman" w:hAnsi="Calibri" w:cs="Calibri"/>
          <w:kern w:val="0"/>
        </w:rPr>
        <w:t xml:space="preserve"> (Taristuehituse Liit)</w:t>
      </w:r>
      <w:r w:rsidRPr="00FC5D9E">
        <w:rPr>
          <w:rFonts w:ascii="Calibri" w:eastAsia="Times New Roman" w:hAnsi="Calibri" w:cs="Calibri"/>
          <w:kern w:val="0"/>
        </w:rPr>
        <w:t xml:space="preserve"> lisamist</w:t>
      </w:r>
      <w:r w:rsidR="00793B11" w:rsidRPr="00FC5D9E">
        <w:rPr>
          <w:rFonts w:ascii="Calibri" w:eastAsia="Times New Roman" w:hAnsi="Calibri" w:cs="Calibri"/>
          <w:kern w:val="0"/>
        </w:rPr>
        <w:t xml:space="preserve"> ja </w:t>
      </w:r>
      <w:r w:rsidR="00D04581" w:rsidRPr="00FC5D9E">
        <w:rPr>
          <w:rFonts w:ascii="Calibri" w:eastAsia="Times New Roman" w:hAnsi="Calibri" w:cs="Calibri"/>
          <w:kern w:val="0"/>
        </w:rPr>
        <w:t xml:space="preserve"> samuti </w:t>
      </w:r>
      <w:r w:rsidR="00793B11" w:rsidRPr="00FC5D9E">
        <w:rPr>
          <w:rFonts w:ascii="Calibri" w:eastAsia="Times New Roman" w:hAnsi="Calibri" w:cs="Calibri"/>
          <w:kern w:val="0"/>
        </w:rPr>
        <w:t>TLS § 51 lg 3 osas oleme seisukohal et võimalikud erandid peaksid jääma kitsalt mõnda valdkond</w:t>
      </w:r>
      <w:r w:rsidR="001141BC" w:rsidRPr="00FC5D9E">
        <w:rPr>
          <w:rFonts w:ascii="Calibri" w:eastAsia="Times New Roman" w:hAnsi="Calibri" w:cs="Calibri"/>
          <w:kern w:val="0"/>
        </w:rPr>
        <w:t>a. Erandeid töölepingu seaduse miinimumtingimuste vähendamisel saavad olla võimalikud</w:t>
      </w:r>
      <w:r w:rsidR="00DB7A65" w:rsidRPr="00FC5D9E">
        <w:rPr>
          <w:rFonts w:ascii="Calibri" w:eastAsia="Times New Roman" w:hAnsi="Calibri" w:cs="Calibri"/>
          <w:kern w:val="0"/>
        </w:rPr>
        <w:t xml:space="preserve"> ametiühingutega sõlmitavate kollektiivlepingutega</w:t>
      </w:r>
      <w:r w:rsidR="001141BC" w:rsidRPr="00FC5D9E">
        <w:rPr>
          <w:rFonts w:ascii="Calibri" w:eastAsia="Times New Roman" w:hAnsi="Calibri" w:cs="Calibri"/>
          <w:kern w:val="0"/>
        </w:rPr>
        <w:t>, mis</w:t>
      </w:r>
      <w:r w:rsidR="00DD16C9" w:rsidRPr="00FC5D9E">
        <w:rPr>
          <w:rFonts w:ascii="Calibri" w:eastAsia="Times New Roman" w:hAnsi="Calibri" w:cs="Calibri"/>
          <w:kern w:val="0"/>
        </w:rPr>
        <w:t xml:space="preserve"> sisalda</w:t>
      </w:r>
      <w:r w:rsidR="001141BC" w:rsidRPr="00FC5D9E">
        <w:rPr>
          <w:rFonts w:ascii="Calibri" w:eastAsia="Times New Roman" w:hAnsi="Calibri" w:cs="Calibri"/>
          <w:kern w:val="0"/>
        </w:rPr>
        <w:t>vad</w:t>
      </w:r>
      <w:r w:rsidR="00DD16C9" w:rsidRPr="00FC5D9E">
        <w:rPr>
          <w:rFonts w:ascii="Calibri" w:eastAsia="Times New Roman" w:hAnsi="Calibri" w:cs="Calibri"/>
          <w:kern w:val="0"/>
        </w:rPr>
        <w:t xml:space="preserve"> töötasu kokkulepet</w:t>
      </w:r>
      <w:r w:rsidR="001141BC" w:rsidRPr="00FC5D9E">
        <w:rPr>
          <w:rFonts w:ascii="Calibri" w:eastAsia="Times New Roman" w:hAnsi="Calibri" w:cs="Calibri"/>
          <w:kern w:val="0"/>
        </w:rPr>
        <w:t>. Ilma töötasu kokkuleppeta</w:t>
      </w:r>
      <w:r w:rsidR="00DD16C9" w:rsidRPr="00FC5D9E">
        <w:rPr>
          <w:rFonts w:ascii="Calibri" w:eastAsia="Times New Roman" w:hAnsi="Calibri" w:cs="Calibri"/>
          <w:kern w:val="0"/>
        </w:rPr>
        <w:t xml:space="preserve"> ei täi</w:t>
      </w:r>
      <w:r w:rsidR="001141BC" w:rsidRPr="00FC5D9E">
        <w:rPr>
          <w:rFonts w:ascii="Calibri" w:eastAsia="Times New Roman" w:hAnsi="Calibri" w:cs="Calibri"/>
          <w:kern w:val="0"/>
        </w:rPr>
        <w:t>deta</w:t>
      </w:r>
      <w:r w:rsidR="00DD16C9" w:rsidRPr="00FC5D9E">
        <w:rPr>
          <w:rFonts w:ascii="Calibri" w:eastAsia="Times New Roman" w:hAnsi="Calibri" w:cs="Calibri"/>
          <w:kern w:val="0"/>
        </w:rPr>
        <w:t xml:space="preserve"> </w:t>
      </w:r>
      <w:r w:rsidR="001141BC" w:rsidRPr="00FC5D9E">
        <w:rPr>
          <w:rFonts w:ascii="Calibri" w:eastAsia="Times New Roman" w:hAnsi="Calibri" w:cs="Calibri"/>
          <w:kern w:val="0"/>
        </w:rPr>
        <w:t xml:space="preserve">miinimumpalga </w:t>
      </w:r>
      <w:r w:rsidR="00DD16C9" w:rsidRPr="00FC5D9E">
        <w:rPr>
          <w:rFonts w:ascii="Calibri" w:eastAsia="Times New Roman" w:hAnsi="Calibri" w:cs="Calibri"/>
          <w:kern w:val="0"/>
        </w:rPr>
        <w:t xml:space="preserve">direktiivi eesmärki. </w:t>
      </w:r>
      <w:r w:rsidR="008E33A4">
        <w:rPr>
          <w:rFonts w:ascii="Calibri" w:eastAsia="Times New Roman" w:hAnsi="Calibri" w:cs="Calibri"/>
          <w:kern w:val="0"/>
        </w:rPr>
        <w:t>Lisaks töötasule peaks sellistes lepingutes, millega töö- ja puhkeaja reeglitest erandeid kehtestatakse</w:t>
      </w:r>
      <w:r w:rsidR="00492007">
        <w:rPr>
          <w:rFonts w:ascii="Calibri" w:eastAsia="Times New Roman" w:hAnsi="Calibri" w:cs="Calibri"/>
          <w:kern w:val="0"/>
        </w:rPr>
        <w:t>, olema</w:t>
      </w:r>
      <w:r w:rsidR="008E33A4">
        <w:rPr>
          <w:rFonts w:ascii="Calibri" w:eastAsia="Times New Roman" w:hAnsi="Calibri" w:cs="Calibri"/>
          <w:kern w:val="0"/>
        </w:rPr>
        <w:t xml:space="preserve"> määratletud ka kompensatsiooni mehhanismid, mis garanteeriksid selle, et töötajate tervis sellistes töötingimustes töötades ei halveneks.</w:t>
      </w:r>
    </w:p>
    <w:p w14:paraId="7B4423FD" w14:textId="77777777" w:rsidR="009F4B02" w:rsidRPr="00FC5D9E" w:rsidRDefault="009F4B02" w:rsidP="00D04581">
      <w:pPr>
        <w:spacing w:after="0" w:line="240" w:lineRule="auto"/>
        <w:jc w:val="both"/>
        <w:rPr>
          <w:rFonts w:ascii="Calibri" w:eastAsia="Times New Roman" w:hAnsi="Calibri" w:cs="Calibri"/>
          <w:kern w:val="0"/>
        </w:rPr>
      </w:pPr>
    </w:p>
    <w:p w14:paraId="4150C04C" w14:textId="77777777" w:rsidR="00AD521F" w:rsidRPr="00FC5D9E" w:rsidRDefault="00AD521F" w:rsidP="00D04581">
      <w:pPr>
        <w:numPr>
          <w:ilvl w:val="0"/>
          <w:numId w:val="1"/>
        </w:numPr>
        <w:spacing w:after="0" w:line="240" w:lineRule="auto"/>
        <w:jc w:val="both"/>
        <w:rPr>
          <w:rFonts w:ascii="Calibri" w:eastAsia="Times New Roman" w:hAnsi="Calibri" w:cs="Calibri"/>
          <w:kern w:val="0"/>
        </w:rPr>
      </w:pPr>
      <w:r w:rsidRPr="00FC5D9E">
        <w:rPr>
          <w:rFonts w:ascii="Calibri" w:eastAsia="Times New Roman" w:hAnsi="Calibri" w:cs="Calibri"/>
          <w:kern w:val="0"/>
        </w:rPr>
        <w:t>Milliste töötingimuste osas võiks olla võimalik kollektiivlepingut laiendada (lisaks töö- ja puhkeajale ning töötasule)? Palume konkreetseid ettepanekuid, milliseid tingimusi võiks olla võimalik kogu sektorile laiendada.</w:t>
      </w:r>
    </w:p>
    <w:p w14:paraId="6032E429" w14:textId="77777777" w:rsidR="00DD16C9" w:rsidRPr="00FC5D9E" w:rsidRDefault="00DD16C9" w:rsidP="00D04581">
      <w:pPr>
        <w:spacing w:after="0" w:line="240" w:lineRule="auto"/>
        <w:jc w:val="both"/>
        <w:rPr>
          <w:rFonts w:ascii="Calibri" w:eastAsia="Times New Roman" w:hAnsi="Calibri" w:cs="Calibri"/>
          <w:kern w:val="0"/>
        </w:rPr>
      </w:pPr>
    </w:p>
    <w:p w14:paraId="4DD36603" w14:textId="02CF5121" w:rsidR="00DD16C9" w:rsidRPr="008E33A4" w:rsidRDefault="008E33A4" w:rsidP="00D04581">
      <w:pPr>
        <w:spacing w:after="0" w:line="240" w:lineRule="auto"/>
        <w:jc w:val="both"/>
        <w:rPr>
          <w:rFonts w:ascii="Calibri" w:eastAsia="Times New Roman" w:hAnsi="Calibri" w:cs="Calibri"/>
          <w:kern w:val="0"/>
        </w:rPr>
      </w:pPr>
      <w:r>
        <w:rPr>
          <w:rFonts w:ascii="Calibri" w:eastAsia="Times New Roman" w:hAnsi="Calibri" w:cs="Calibri"/>
          <w:kern w:val="0"/>
        </w:rPr>
        <w:t>Kuna</w:t>
      </w:r>
      <w:r w:rsidR="00D04581" w:rsidRPr="00FC5D9E">
        <w:rPr>
          <w:rFonts w:ascii="Calibri" w:eastAsia="Times New Roman" w:hAnsi="Calibri" w:cs="Calibri"/>
          <w:kern w:val="0"/>
        </w:rPr>
        <w:t xml:space="preserve"> kollektiivlepingute laiendamisel on aluseks esinduslikkuse kriteerium, siis on loogiline, et pooled on  piisavalt esinduslikud </w:t>
      </w:r>
      <w:r>
        <w:rPr>
          <w:rFonts w:ascii="Calibri" w:eastAsia="Times New Roman" w:hAnsi="Calibri" w:cs="Calibri"/>
          <w:kern w:val="0"/>
        </w:rPr>
        <w:t xml:space="preserve">otsustamaks, milliseid kollektiivlepingu tingimusi võib tervele sektorile laiendada. Seetõttu teeme ettepaneku muuta </w:t>
      </w:r>
      <w:r w:rsidR="00D04581" w:rsidRPr="00FC5D9E">
        <w:rPr>
          <w:rFonts w:ascii="Calibri" w:eastAsia="Times New Roman" w:hAnsi="Calibri" w:cs="Calibri"/>
          <w:kern w:val="0"/>
        </w:rPr>
        <w:t xml:space="preserve"> </w:t>
      </w:r>
      <w:r>
        <w:rPr>
          <w:rFonts w:ascii="Calibri" w:eastAsia="Times New Roman" w:hAnsi="Calibri" w:cs="Calibri"/>
          <w:kern w:val="0"/>
        </w:rPr>
        <w:t>KLS § 4</w:t>
      </w:r>
      <w:r>
        <w:rPr>
          <w:rFonts w:ascii="Calibri" w:eastAsia="Times New Roman" w:hAnsi="Calibri" w:cs="Calibri"/>
          <w:kern w:val="0"/>
          <w:vertAlign w:val="superscript"/>
        </w:rPr>
        <w:t>1</w:t>
      </w:r>
      <w:r>
        <w:rPr>
          <w:rFonts w:ascii="Calibri" w:eastAsia="Times New Roman" w:hAnsi="Calibri" w:cs="Calibri"/>
          <w:kern w:val="0"/>
        </w:rPr>
        <w:t xml:space="preserve"> lg 1 esimest lauset järgnevalt: Kollektiivlepingut võib laiendada poolte kokkuleppel.</w:t>
      </w:r>
      <w:r w:rsidR="00A97223">
        <w:rPr>
          <w:rFonts w:ascii="Calibri" w:eastAsia="Times New Roman" w:hAnsi="Calibri" w:cs="Calibri"/>
          <w:kern w:val="0"/>
        </w:rPr>
        <w:t xml:space="preserve"> </w:t>
      </w:r>
    </w:p>
    <w:p w14:paraId="2F53BAD9" w14:textId="77777777" w:rsidR="00DD16C9" w:rsidRPr="00FC5D9E" w:rsidRDefault="00DD16C9" w:rsidP="00D04581">
      <w:pPr>
        <w:spacing w:after="0" w:line="240" w:lineRule="auto"/>
        <w:jc w:val="both"/>
        <w:rPr>
          <w:rFonts w:ascii="Calibri" w:eastAsia="Times New Roman" w:hAnsi="Calibri" w:cs="Calibri"/>
          <w:kern w:val="0"/>
        </w:rPr>
      </w:pPr>
    </w:p>
    <w:p w14:paraId="51EE004B" w14:textId="77777777" w:rsidR="00AD521F" w:rsidRPr="00FC5D9E" w:rsidRDefault="00AD521F" w:rsidP="00D04581">
      <w:pPr>
        <w:numPr>
          <w:ilvl w:val="0"/>
          <w:numId w:val="1"/>
        </w:numPr>
        <w:spacing w:after="0" w:line="240" w:lineRule="auto"/>
        <w:jc w:val="both"/>
        <w:rPr>
          <w:rFonts w:ascii="Calibri" w:eastAsia="Times New Roman" w:hAnsi="Calibri" w:cs="Calibri"/>
          <w:kern w:val="0"/>
        </w:rPr>
      </w:pPr>
      <w:r w:rsidRPr="00FC5D9E">
        <w:rPr>
          <w:rFonts w:ascii="Calibri" w:eastAsia="Times New Roman" w:hAnsi="Calibri" w:cs="Calibri"/>
          <w:kern w:val="0"/>
        </w:rPr>
        <w:t>Kuidas võiks kehtivaid kollektiivlepingu laiendamise tingimusi muuta (nt millised kollektiivlepingu seaduse nõuded on valmistanud praktikas keerukust)? Palume teie konkreetseid ettepanekuid ja näiteid praktikast, milliseid kitsaskohti kehtiva laiendamisprotsessi osas näete.</w:t>
      </w:r>
    </w:p>
    <w:p w14:paraId="566733B0" w14:textId="77777777" w:rsidR="00DD16C9" w:rsidRPr="00FC5D9E" w:rsidRDefault="00DD16C9" w:rsidP="00D04581">
      <w:pPr>
        <w:spacing w:after="0" w:line="240" w:lineRule="auto"/>
        <w:jc w:val="both"/>
        <w:rPr>
          <w:rFonts w:ascii="Calibri" w:eastAsia="Aptos" w:hAnsi="Calibri" w:cs="Calibri"/>
          <w:kern w:val="0"/>
          <w14:ligatures w14:val="none"/>
        </w:rPr>
      </w:pPr>
    </w:p>
    <w:p w14:paraId="05D4362D" w14:textId="77777777" w:rsidR="00DB7A65" w:rsidRPr="00FC5D9E" w:rsidRDefault="00DB7A65" w:rsidP="00D04581">
      <w:pPr>
        <w:pStyle w:val="Loendilik"/>
        <w:numPr>
          <w:ilvl w:val="0"/>
          <w:numId w:val="3"/>
        </w:numPr>
        <w:spacing w:after="0" w:line="240" w:lineRule="auto"/>
        <w:jc w:val="both"/>
        <w:rPr>
          <w:rFonts w:ascii="Calibri" w:eastAsia="Aptos" w:hAnsi="Calibri" w:cs="Calibri"/>
          <w:kern w:val="0"/>
          <w14:ligatures w14:val="none"/>
        </w:rPr>
      </w:pPr>
      <w:r w:rsidRPr="00FC5D9E">
        <w:rPr>
          <w:rFonts w:ascii="Calibri" w:eastAsia="Aptos" w:hAnsi="Calibri" w:cs="Calibri"/>
          <w:kern w:val="0"/>
          <w14:ligatures w14:val="none"/>
        </w:rPr>
        <w:t xml:space="preserve">Statistikaameti andmetel ei ole poolte </w:t>
      </w:r>
      <w:r w:rsidR="00DD16C9" w:rsidRPr="00FC5D9E">
        <w:rPr>
          <w:rFonts w:ascii="Calibri" w:eastAsia="Aptos" w:hAnsi="Calibri" w:cs="Calibri"/>
          <w:kern w:val="0"/>
          <w14:ligatures w14:val="none"/>
        </w:rPr>
        <w:t xml:space="preserve">esinduslikkust võimalik </w:t>
      </w:r>
      <w:r w:rsidRPr="00FC5D9E">
        <w:rPr>
          <w:rFonts w:ascii="Calibri" w:eastAsia="Aptos" w:hAnsi="Calibri" w:cs="Calibri"/>
          <w:kern w:val="0"/>
          <w14:ligatures w14:val="none"/>
        </w:rPr>
        <w:t>määratleda.</w:t>
      </w:r>
    </w:p>
    <w:p w14:paraId="748DE11F" w14:textId="7AC98C45" w:rsidR="0085174B" w:rsidRPr="00FC5D9E" w:rsidRDefault="00DB7A65" w:rsidP="00D04581">
      <w:pPr>
        <w:pStyle w:val="Loendilik"/>
        <w:numPr>
          <w:ilvl w:val="0"/>
          <w:numId w:val="3"/>
        </w:numPr>
        <w:spacing w:after="0" w:line="240" w:lineRule="auto"/>
        <w:jc w:val="both"/>
        <w:rPr>
          <w:rFonts w:ascii="Calibri" w:eastAsia="Aptos" w:hAnsi="Calibri" w:cs="Calibri"/>
          <w:kern w:val="0"/>
          <w14:ligatures w14:val="none"/>
        </w:rPr>
      </w:pPr>
      <w:r w:rsidRPr="00FC5D9E">
        <w:rPr>
          <w:rFonts w:ascii="Calibri" w:eastAsia="Aptos" w:hAnsi="Calibri" w:cs="Calibri"/>
          <w:kern w:val="0"/>
          <w14:ligatures w14:val="none"/>
        </w:rPr>
        <w:t>Tänane sotsiaalpartnerite organiseerituse tase ei ole piisav, et vastata vajalikele laiendamise kriteeriumitele.</w:t>
      </w:r>
      <w:r w:rsidR="00DD16C9" w:rsidRPr="00FC5D9E">
        <w:rPr>
          <w:rFonts w:ascii="Calibri" w:eastAsia="Aptos" w:hAnsi="Calibri" w:cs="Calibri"/>
          <w:kern w:val="0"/>
          <w14:ligatures w14:val="none"/>
        </w:rPr>
        <w:t xml:space="preserve"> </w:t>
      </w:r>
      <w:r w:rsidRPr="00FC5D9E">
        <w:rPr>
          <w:rFonts w:ascii="Calibri" w:eastAsia="Aptos" w:hAnsi="Calibri" w:cs="Calibri"/>
          <w:kern w:val="0"/>
          <w14:ligatures w14:val="none"/>
        </w:rPr>
        <w:t xml:space="preserve">Seetõttu tihti </w:t>
      </w:r>
      <w:r w:rsidR="00D04581" w:rsidRPr="00FC5D9E">
        <w:rPr>
          <w:rFonts w:ascii="Calibri" w:eastAsia="Aptos" w:hAnsi="Calibri" w:cs="Calibri"/>
          <w:kern w:val="0"/>
          <w14:ligatures w14:val="none"/>
        </w:rPr>
        <w:t xml:space="preserve">isegi ei alustata </w:t>
      </w:r>
      <w:r w:rsidRPr="00FC5D9E">
        <w:rPr>
          <w:rFonts w:ascii="Calibri" w:eastAsia="Aptos" w:hAnsi="Calibri" w:cs="Calibri"/>
          <w:kern w:val="0"/>
          <w14:ligatures w14:val="none"/>
        </w:rPr>
        <w:t xml:space="preserve">läbirääkimisi, sest </w:t>
      </w:r>
      <w:r w:rsidR="00D04581" w:rsidRPr="00FC5D9E">
        <w:rPr>
          <w:rFonts w:ascii="Calibri" w:eastAsia="Aptos" w:hAnsi="Calibri" w:cs="Calibri"/>
          <w:kern w:val="0"/>
          <w14:ligatures w14:val="none"/>
        </w:rPr>
        <w:t xml:space="preserve">arvestatakse, et </w:t>
      </w:r>
      <w:r w:rsidRPr="00FC5D9E">
        <w:rPr>
          <w:rFonts w:ascii="Calibri" w:eastAsia="Aptos" w:hAnsi="Calibri" w:cs="Calibri"/>
          <w:kern w:val="0"/>
          <w14:ligatures w14:val="none"/>
        </w:rPr>
        <w:t>laiendamine ei ole võimalik</w:t>
      </w:r>
      <w:r w:rsidR="0085174B" w:rsidRPr="00FC5D9E">
        <w:rPr>
          <w:rFonts w:ascii="Calibri" w:eastAsia="Aptos" w:hAnsi="Calibri" w:cs="Calibri"/>
          <w:kern w:val="0"/>
          <w14:ligatures w14:val="none"/>
        </w:rPr>
        <w:t>.</w:t>
      </w:r>
    </w:p>
    <w:p w14:paraId="328E3189" w14:textId="5CE50310" w:rsidR="00AD521F" w:rsidRPr="00FC5D9E" w:rsidRDefault="0085174B" w:rsidP="00D04581">
      <w:pPr>
        <w:pStyle w:val="Loendilik"/>
        <w:numPr>
          <w:ilvl w:val="0"/>
          <w:numId w:val="3"/>
        </w:numPr>
        <w:spacing w:after="0" w:line="240" w:lineRule="auto"/>
        <w:jc w:val="both"/>
        <w:rPr>
          <w:rFonts w:ascii="Calibri" w:eastAsia="Aptos" w:hAnsi="Calibri" w:cs="Calibri"/>
          <w:kern w:val="0"/>
          <w14:ligatures w14:val="none"/>
        </w:rPr>
      </w:pPr>
      <w:r w:rsidRPr="00FC5D9E">
        <w:rPr>
          <w:rFonts w:ascii="Calibri" w:eastAsia="Aptos" w:hAnsi="Calibri" w:cs="Calibri"/>
          <w:kern w:val="0"/>
          <w14:ligatures w14:val="none"/>
        </w:rPr>
        <w:t>Laienda</w:t>
      </w:r>
      <w:r w:rsidR="00D04581" w:rsidRPr="00FC5D9E">
        <w:rPr>
          <w:rFonts w:ascii="Calibri" w:eastAsia="Aptos" w:hAnsi="Calibri" w:cs="Calibri"/>
          <w:kern w:val="0"/>
          <w14:ligatures w14:val="none"/>
        </w:rPr>
        <w:t xml:space="preserve">tavate kollektiivlepingute mittesõlmimise </w:t>
      </w:r>
      <w:r w:rsidRPr="00FC5D9E">
        <w:rPr>
          <w:rFonts w:ascii="Calibri" w:eastAsia="Aptos" w:hAnsi="Calibri" w:cs="Calibri"/>
          <w:kern w:val="0"/>
          <w14:ligatures w14:val="none"/>
        </w:rPr>
        <w:t xml:space="preserve">juures on toodud </w:t>
      </w:r>
      <w:r w:rsidR="00D04581" w:rsidRPr="00FC5D9E">
        <w:rPr>
          <w:rFonts w:ascii="Calibri" w:eastAsia="Aptos" w:hAnsi="Calibri" w:cs="Calibri"/>
          <w:kern w:val="0"/>
          <w14:ligatures w14:val="none"/>
        </w:rPr>
        <w:t>mõnikord</w:t>
      </w:r>
      <w:r w:rsidRPr="00FC5D9E">
        <w:rPr>
          <w:rFonts w:ascii="Calibri" w:eastAsia="Aptos" w:hAnsi="Calibri" w:cs="Calibri"/>
          <w:kern w:val="0"/>
          <w14:ligatures w14:val="none"/>
        </w:rPr>
        <w:t xml:space="preserve"> põhjenduseks, et vajalik oleks</w:t>
      </w:r>
      <w:r w:rsidR="00D04581" w:rsidRPr="00FC5D9E">
        <w:rPr>
          <w:rFonts w:ascii="Calibri" w:eastAsia="Aptos" w:hAnsi="Calibri" w:cs="Calibri"/>
          <w:kern w:val="0"/>
          <w14:ligatures w14:val="none"/>
        </w:rPr>
        <w:t xml:space="preserve"> lisaks töötasu ja töö- ja puhkeaja tingimustele</w:t>
      </w:r>
      <w:r w:rsidRPr="00FC5D9E">
        <w:rPr>
          <w:rFonts w:ascii="Calibri" w:eastAsia="Aptos" w:hAnsi="Calibri" w:cs="Calibri"/>
          <w:kern w:val="0"/>
          <w14:ligatures w14:val="none"/>
        </w:rPr>
        <w:t xml:space="preserve"> ka muude lepingupunktide laiendamise võimalus (näiteks koolitused, kindlustused)</w:t>
      </w:r>
      <w:r w:rsidR="00D04581" w:rsidRPr="00FC5D9E">
        <w:rPr>
          <w:rFonts w:ascii="Calibri" w:eastAsia="Aptos" w:hAnsi="Calibri" w:cs="Calibri"/>
          <w:kern w:val="0"/>
          <w14:ligatures w14:val="none"/>
        </w:rPr>
        <w:t>.</w:t>
      </w:r>
    </w:p>
    <w:p w14:paraId="48A66C33" w14:textId="3F699980" w:rsidR="00E33A95" w:rsidRPr="00FC5D9E" w:rsidRDefault="00DB7A65" w:rsidP="00D04581">
      <w:pPr>
        <w:pStyle w:val="Loendilik"/>
        <w:numPr>
          <w:ilvl w:val="0"/>
          <w:numId w:val="3"/>
        </w:numPr>
        <w:spacing w:after="0" w:line="240" w:lineRule="auto"/>
        <w:jc w:val="both"/>
        <w:rPr>
          <w:rFonts w:ascii="Calibri" w:eastAsia="Aptos" w:hAnsi="Calibri" w:cs="Calibri"/>
          <w:kern w:val="0"/>
          <w14:ligatures w14:val="none"/>
        </w:rPr>
      </w:pPr>
      <w:r w:rsidRPr="00FC5D9E">
        <w:rPr>
          <w:rFonts w:ascii="Calibri" w:eastAsia="Aptos" w:hAnsi="Calibri" w:cs="Calibri"/>
          <w:kern w:val="0"/>
          <w14:ligatures w14:val="none"/>
        </w:rPr>
        <w:t xml:space="preserve">KLS § 43  lg 3 kohustab läbirääkimiste pooli teavitama avalikkust üleriigilise levikuga meediakanali vahendusel oma läbirääkimise kavatsusest – </w:t>
      </w:r>
      <w:r w:rsidR="00D04581" w:rsidRPr="00FC5D9E">
        <w:rPr>
          <w:rFonts w:ascii="Calibri" w:eastAsia="Aptos" w:hAnsi="Calibri" w:cs="Calibri"/>
          <w:kern w:val="0"/>
          <w14:ligatures w14:val="none"/>
        </w:rPr>
        <w:t xml:space="preserve">see on </w:t>
      </w:r>
      <w:r w:rsidRPr="00FC5D9E">
        <w:rPr>
          <w:rFonts w:ascii="Calibri" w:eastAsia="Aptos" w:hAnsi="Calibri" w:cs="Calibri"/>
          <w:kern w:val="0"/>
          <w14:ligatures w14:val="none"/>
        </w:rPr>
        <w:t xml:space="preserve">täiendav finantskulu organisatsioonidele, kelle majanduslik seis on pingeline. </w:t>
      </w:r>
      <w:r w:rsidR="00FC5D9E" w:rsidRPr="00FC5D9E">
        <w:rPr>
          <w:rFonts w:ascii="Calibri" w:eastAsia="Aptos" w:hAnsi="Calibri" w:cs="Calibri"/>
          <w:kern w:val="0"/>
          <w14:ligatures w14:val="none"/>
        </w:rPr>
        <w:t xml:space="preserve">Lisaks on oluline laiendavate tingimuste tutvustamine organisatsioonidesse mittekuuluvatele isikutele. </w:t>
      </w:r>
      <w:r w:rsidRPr="00FC5D9E">
        <w:rPr>
          <w:rFonts w:ascii="Calibri" w:eastAsia="Aptos" w:hAnsi="Calibri" w:cs="Calibri"/>
          <w:kern w:val="0"/>
          <w14:ligatures w14:val="none"/>
        </w:rPr>
        <w:t xml:space="preserve">Tuletame meelde, et ametiühing on ainus ühiskondlik organisatsioon, </w:t>
      </w:r>
      <w:r w:rsidR="00A97223">
        <w:rPr>
          <w:rFonts w:ascii="Calibri" w:eastAsia="Aptos" w:hAnsi="Calibri" w:cs="Calibri"/>
          <w:kern w:val="0"/>
          <w14:ligatures w14:val="none"/>
        </w:rPr>
        <w:t>kelle tegevus on finantseeritud</w:t>
      </w:r>
      <w:r w:rsidRPr="00FC5D9E">
        <w:rPr>
          <w:rFonts w:ascii="Calibri" w:eastAsia="Aptos" w:hAnsi="Calibri" w:cs="Calibri"/>
          <w:kern w:val="0"/>
          <w14:ligatures w14:val="none"/>
        </w:rPr>
        <w:t xml:space="preserve"> liikmete maksudest. </w:t>
      </w:r>
      <w:r w:rsidR="00A97223">
        <w:rPr>
          <w:rFonts w:ascii="Calibri" w:eastAsia="Aptos" w:hAnsi="Calibri" w:cs="Calibri"/>
          <w:kern w:val="0"/>
          <w14:ligatures w14:val="none"/>
        </w:rPr>
        <w:t>Enamik</w:t>
      </w:r>
      <w:r w:rsidRPr="00FC5D9E">
        <w:rPr>
          <w:rFonts w:ascii="Calibri" w:eastAsia="Aptos" w:hAnsi="Calibri" w:cs="Calibri"/>
          <w:kern w:val="0"/>
          <w14:ligatures w14:val="none"/>
        </w:rPr>
        <w:t xml:space="preserve"> </w:t>
      </w:r>
      <w:r w:rsidR="00A97223">
        <w:rPr>
          <w:rFonts w:ascii="Calibri" w:eastAsia="Aptos" w:hAnsi="Calibri" w:cs="Calibri"/>
          <w:kern w:val="0"/>
          <w14:ligatures w14:val="none"/>
        </w:rPr>
        <w:t>teisi kodanike ühendusi</w:t>
      </w:r>
      <w:r w:rsidRPr="00FC5D9E">
        <w:rPr>
          <w:rFonts w:ascii="Calibri" w:eastAsia="Aptos" w:hAnsi="Calibri" w:cs="Calibri"/>
          <w:kern w:val="0"/>
          <w14:ligatures w14:val="none"/>
        </w:rPr>
        <w:t xml:space="preserve">, kaasa arvatud erakonnad saavad riigilt või ettevõtjatelt toetusi / ettevõtetelt liikmemaksu. </w:t>
      </w:r>
    </w:p>
    <w:p w14:paraId="5FCF3098" w14:textId="77777777" w:rsidR="0085174B" w:rsidRPr="00FC5D9E" w:rsidRDefault="0085174B" w:rsidP="00D04581">
      <w:pPr>
        <w:pStyle w:val="Loendilik"/>
        <w:spacing w:after="0" w:line="240" w:lineRule="auto"/>
        <w:jc w:val="both"/>
        <w:rPr>
          <w:rFonts w:ascii="Calibri" w:eastAsia="Aptos" w:hAnsi="Calibri" w:cs="Calibri"/>
          <w:kern w:val="0"/>
          <w14:ligatures w14:val="none"/>
        </w:rPr>
      </w:pPr>
    </w:p>
    <w:p w14:paraId="0CC514D6" w14:textId="393E87B2" w:rsidR="00DD16C9" w:rsidRPr="00FC5D9E" w:rsidRDefault="00DD16C9" w:rsidP="00D04581">
      <w:pPr>
        <w:jc w:val="both"/>
        <w:rPr>
          <w:rFonts w:ascii="Calibri" w:hAnsi="Calibri" w:cs="Calibri"/>
        </w:rPr>
      </w:pPr>
      <w:r w:rsidRPr="00FC5D9E">
        <w:rPr>
          <w:rFonts w:ascii="Calibri" w:hAnsi="Calibri" w:cs="Calibri"/>
        </w:rPr>
        <w:t>Tegevuskava</w:t>
      </w:r>
      <w:r w:rsidR="0085174B" w:rsidRPr="00FC5D9E">
        <w:rPr>
          <w:rFonts w:ascii="Calibri" w:hAnsi="Calibri" w:cs="Calibri"/>
        </w:rPr>
        <w:t xml:space="preserve"> lisas on toodud ka teiste teemade loetelu, mis  läbirääkimistel esile kerkisid, kuid soovime rõhutada, et seda ei saa võtta kui lõplikku, sest paljude teemade juures on vajalik eraldi arutelu ja ametiühingutele olulisi punkte on võimalik veel lisada. </w:t>
      </w:r>
      <w:r w:rsidR="00BE6553">
        <w:rPr>
          <w:rFonts w:ascii="Calibri" w:hAnsi="Calibri" w:cs="Calibri"/>
        </w:rPr>
        <w:t xml:space="preserve">Kindlasti selgub </w:t>
      </w:r>
      <w:r w:rsidR="001063DD">
        <w:rPr>
          <w:rFonts w:ascii="Calibri" w:hAnsi="Calibri" w:cs="Calibri"/>
        </w:rPr>
        <w:t>uusi olulisis teemasid pärast tegevuskava</w:t>
      </w:r>
      <w:r w:rsidR="00CB337C">
        <w:rPr>
          <w:rFonts w:ascii="Calibri" w:hAnsi="Calibri" w:cs="Calibri"/>
        </w:rPr>
        <w:t>eelnõus mainitud</w:t>
      </w:r>
      <w:r w:rsidR="001063DD">
        <w:rPr>
          <w:rFonts w:ascii="Calibri" w:hAnsi="Calibri" w:cs="Calibri"/>
        </w:rPr>
        <w:t xml:space="preserve"> uuringu </w:t>
      </w:r>
      <w:r w:rsidR="00FA6B47">
        <w:rPr>
          <w:rFonts w:ascii="Calibri" w:hAnsi="Calibri" w:cs="Calibri"/>
        </w:rPr>
        <w:t xml:space="preserve">lõppu. </w:t>
      </w:r>
    </w:p>
    <w:p w14:paraId="2E265B5C" w14:textId="41EE308B" w:rsidR="0085174B" w:rsidRPr="00FC5D9E" w:rsidRDefault="0085174B" w:rsidP="00D04581">
      <w:pPr>
        <w:jc w:val="both"/>
        <w:rPr>
          <w:rFonts w:ascii="Calibri" w:hAnsi="Calibri" w:cs="Calibri"/>
        </w:rPr>
      </w:pPr>
      <w:r w:rsidRPr="00FC5D9E">
        <w:rPr>
          <w:rFonts w:ascii="Calibri" w:hAnsi="Calibri" w:cs="Calibri"/>
        </w:rPr>
        <w:t>Näiteks vajaks seadustamist järgmised punktid, mis aitaksid oluliselt kaasa sotsiaalpartnerite tugevdamisele ja kollektiivläbirääkimiste edendamisele:</w:t>
      </w:r>
    </w:p>
    <w:p w14:paraId="7FF98CD8" w14:textId="268CC85D" w:rsidR="005F1A71" w:rsidRPr="00FC5D9E" w:rsidRDefault="005F1A71" w:rsidP="00D04581">
      <w:pPr>
        <w:pStyle w:val="Loendilik"/>
        <w:numPr>
          <w:ilvl w:val="0"/>
          <w:numId w:val="2"/>
        </w:numPr>
        <w:jc w:val="both"/>
        <w:rPr>
          <w:rFonts w:ascii="Calibri" w:hAnsi="Calibri" w:cs="Calibri"/>
        </w:rPr>
      </w:pPr>
      <w:r w:rsidRPr="00FC5D9E">
        <w:rPr>
          <w:rFonts w:ascii="Calibri" w:hAnsi="Calibri" w:cs="Calibri"/>
        </w:rPr>
        <w:t>Tööandjal</w:t>
      </w:r>
      <w:r w:rsidR="0085174B" w:rsidRPr="00FC5D9E">
        <w:rPr>
          <w:rFonts w:ascii="Calibri" w:hAnsi="Calibri" w:cs="Calibri"/>
        </w:rPr>
        <w:t xml:space="preserve"> peaks olema</w:t>
      </w:r>
      <w:r w:rsidRPr="00FC5D9E">
        <w:rPr>
          <w:rFonts w:ascii="Calibri" w:hAnsi="Calibri" w:cs="Calibri"/>
        </w:rPr>
        <w:t xml:space="preserve"> kohustus teha kinnipidamisi töötaja töötasust töötaja isikliku avalduse alusel ja kanda üle töötaja avalduses näidatud kontole</w:t>
      </w:r>
      <w:r w:rsidR="0085174B" w:rsidRPr="00FC5D9E">
        <w:rPr>
          <w:rFonts w:ascii="Calibri" w:hAnsi="Calibri" w:cs="Calibri"/>
        </w:rPr>
        <w:t>;</w:t>
      </w:r>
    </w:p>
    <w:p w14:paraId="3498246F" w14:textId="746229A0" w:rsidR="0085174B" w:rsidRPr="00FC5D9E" w:rsidRDefault="0085174B" w:rsidP="00D04581">
      <w:pPr>
        <w:pStyle w:val="Loendilik"/>
        <w:numPr>
          <w:ilvl w:val="0"/>
          <w:numId w:val="2"/>
        </w:numPr>
        <w:jc w:val="both"/>
        <w:rPr>
          <w:rFonts w:ascii="Calibri" w:hAnsi="Calibri" w:cs="Calibri"/>
        </w:rPr>
      </w:pPr>
      <w:r w:rsidRPr="00FC5D9E">
        <w:rPr>
          <w:rFonts w:ascii="Calibri" w:hAnsi="Calibri" w:cs="Calibri"/>
        </w:rPr>
        <w:t>Kollektiivlepingu nn haldustasu kehtestamine (töötajate pealt, kes ei organiseerunud);</w:t>
      </w:r>
    </w:p>
    <w:p w14:paraId="0A67DE14" w14:textId="6523A973" w:rsidR="0085174B" w:rsidRPr="00FC5D9E" w:rsidRDefault="0085174B" w:rsidP="00D04581">
      <w:pPr>
        <w:pStyle w:val="Loendilik"/>
        <w:numPr>
          <w:ilvl w:val="0"/>
          <w:numId w:val="2"/>
        </w:numPr>
        <w:jc w:val="both"/>
        <w:rPr>
          <w:rFonts w:ascii="Calibri" w:hAnsi="Calibri" w:cs="Calibri"/>
        </w:rPr>
      </w:pPr>
      <w:r w:rsidRPr="00FC5D9E">
        <w:rPr>
          <w:rFonts w:ascii="Calibri" w:hAnsi="Calibri" w:cs="Calibri"/>
        </w:rPr>
        <w:t>Töötasu kokkulepetega kollektiivlepingute sõlmimise nõue riigihangetel osalevatele ettevõtetele;</w:t>
      </w:r>
    </w:p>
    <w:p w14:paraId="43CBE4D7" w14:textId="17D9E2C8" w:rsidR="0085174B" w:rsidRPr="00FC5D9E" w:rsidRDefault="000F6112" w:rsidP="00D04581">
      <w:pPr>
        <w:pStyle w:val="Loendilik"/>
        <w:numPr>
          <w:ilvl w:val="0"/>
          <w:numId w:val="2"/>
        </w:numPr>
        <w:jc w:val="both"/>
        <w:rPr>
          <w:rFonts w:ascii="Calibri" w:hAnsi="Calibri" w:cs="Calibri"/>
        </w:rPr>
      </w:pPr>
      <w:r w:rsidRPr="00FC5D9E">
        <w:rPr>
          <w:rFonts w:ascii="Calibri" w:hAnsi="Calibri" w:cs="Calibri"/>
        </w:rPr>
        <w:t>Kollektiivlepingutes kokku lepitud töötajate tervisesse tehtavate kulutuste kõrgem erisoodustusmaksu vabastus;</w:t>
      </w:r>
    </w:p>
    <w:p w14:paraId="03855256" w14:textId="5C80C297" w:rsidR="000F6112" w:rsidRDefault="000F6112" w:rsidP="00D04581">
      <w:pPr>
        <w:pStyle w:val="Loendilik"/>
        <w:numPr>
          <w:ilvl w:val="0"/>
          <w:numId w:val="2"/>
        </w:numPr>
        <w:jc w:val="both"/>
        <w:rPr>
          <w:rFonts w:ascii="Calibri" w:hAnsi="Calibri" w:cs="Calibri"/>
        </w:rPr>
      </w:pPr>
      <w:r w:rsidRPr="00FC5D9E">
        <w:rPr>
          <w:rFonts w:ascii="Calibri" w:hAnsi="Calibri" w:cs="Calibri"/>
        </w:rPr>
        <w:t xml:space="preserve">Ametiühingute liikmemaksu tulumaksuvabastus. </w:t>
      </w:r>
    </w:p>
    <w:p w14:paraId="21FB838F" w14:textId="38CBB592" w:rsidR="00140DB5" w:rsidRPr="00140DB5" w:rsidRDefault="00140DB5" w:rsidP="00140DB5">
      <w:pPr>
        <w:jc w:val="both"/>
        <w:rPr>
          <w:rFonts w:ascii="Calibri" w:hAnsi="Calibri" w:cs="Calibri"/>
        </w:rPr>
      </w:pPr>
    </w:p>
    <w:p w14:paraId="62779367" w14:textId="77777777" w:rsidR="005F1A71" w:rsidRPr="00FC5D9E" w:rsidRDefault="005F1A71" w:rsidP="00D04581">
      <w:pPr>
        <w:jc w:val="both"/>
        <w:rPr>
          <w:rFonts w:ascii="Calibri" w:hAnsi="Calibri" w:cs="Calibri"/>
        </w:rPr>
      </w:pPr>
    </w:p>
    <w:sectPr w:rsidR="005F1A71" w:rsidRPr="00FC5D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22AEA"/>
    <w:multiLevelType w:val="hybridMultilevel"/>
    <w:tmpl w:val="1D96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77320"/>
    <w:multiLevelType w:val="hybridMultilevel"/>
    <w:tmpl w:val="C950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62A27"/>
    <w:multiLevelType w:val="hybridMultilevel"/>
    <w:tmpl w:val="7988B89C"/>
    <w:lvl w:ilvl="0" w:tplc="BD00210A">
      <w:start w:val="1"/>
      <w:numFmt w:val="decimal"/>
      <w:lvlText w:val="%1)"/>
      <w:lvlJc w:val="left"/>
      <w:pPr>
        <w:ind w:left="720" w:hanging="360"/>
      </w:pPr>
      <w:rPr>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38BD696C"/>
    <w:multiLevelType w:val="hybridMultilevel"/>
    <w:tmpl w:val="5D2CF408"/>
    <w:lvl w:ilvl="0" w:tplc="BB320F04">
      <w:numFmt w:val="bullet"/>
      <w:lvlText w:val="-"/>
      <w:lvlJc w:val="left"/>
      <w:pPr>
        <w:ind w:left="408" w:hanging="360"/>
      </w:pPr>
      <w:rPr>
        <w:rFonts w:ascii="Calibri" w:eastAsia="Aptos"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7032762F"/>
    <w:multiLevelType w:val="hybridMultilevel"/>
    <w:tmpl w:val="6D2CCB94"/>
    <w:lvl w:ilvl="0" w:tplc="BB320F04">
      <w:numFmt w:val="bullet"/>
      <w:lvlText w:val="-"/>
      <w:lvlJc w:val="left"/>
      <w:pPr>
        <w:ind w:left="408"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01DA2"/>
    <w:multiLevelType w:val="hybridMultilevel"/>
    <w:tmpl w:val="24C4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931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739556">
    <w:abstractNumId w:val="1"/>
  </w:num>
  <w:num w:numId="3" w16cid:durableId="1600914514">
    <w:abstractNumId w:val="5"/>
  </w:num>
  <w:num w:numId="4" w16cid:durableId="1935893752">
    <w:abstractNumId w:val="3"/>
  </w:num>
  <w:num w:numId="5" w16cid:durableId="1199315271">
    <w:abstractNumId w:val="4"/>
  </w:num>
  <w:num w:numId="6" w16cid:durableId="34239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1F"/>
    <w:rsid w:val="000F6112"/>
    <w:rsid w:val="001063DD"/>
    <w:rsid w:val="001141BC"/>
    <w:rsid w:val="00140DB5"/>
    <w:rsid w:val="00192B36"/>
    <w:rsid w:val="001C42FE"/>
    <w:rsid w:val="002C738D"/>
    <w:rsid w:val="00306397"/>
    <w:rsid w:val="003E2821"/>
    <w:rsid w:val="0041293C"/>
    <w:rsid w:val="004149B6"/>
    <w:rsid w:val="00492007"/>
    <w:rsid w:val="004C4150"/>
    <w:rsid w:val="004C7C45"/>
    <w:rsid w:val="005A1E22"/>
    <w:rsid w:val="005C064A"/>
    <w:rsid w:val="005F1A71"/>
    <w:rsid w:val="006211AE"/>
    <w:rsid w:val="006F44CA"/>
    <w:rsid w:val="00772A37"/>
    <w:rsid w:val="00793B11"/>
    <w:rsid w:val="007B64F4"/>
    <w:rsid w:val="0085174B"/>
    <w:rsid w:val="008E10B5"/>
    <w:rsid w:val="008E33A4"/>
    <w:rsid w:val="009469EF"/>
    <w:rsid w:val="009F4B02"/>
    <w:rsid w:val="00A6692A"/>
    <w:rsid w:val="00A97223"/>
    <w:rsid w:val="00AD521F"/>
    <w:rsid w:val="00B04A1D"/>
    <w:rsid w:val="00B13816"/>
    <w:rsid w:val="00B52BC9"/>
    <w:rsid w:val="00B53438"/>
    <w:rsid w:val="00BE6553"/>
    <w:rsid w:val="00C9759B"/>
    <w:rsid w:val="00CB337C"/>
    <w:rsid w:val="00CF3AD5"/>
    <w:rsid w:val="00D04581"/>
    <w:rsid w:val="00DB7A65"/>
    <w:rsid w:val="00DD16C9"/>
    <w:rsid w:val="00E33A95"/>
    <w:rsid w:val="00F7695F"/>
    <w:rsid w:val="00FA6B47"/>
    <w:rsid w:val="00FB53C8"/>
    <w:rsid w:val="00FC5D9E"/>
    <w:rsid w:val="00FE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F7CCF"/>
  <w15:chartTrackingRefBased/>
  <w15:docId w15:val="{4744F613-8144-41AD-84E8-14DF9611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AD5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D5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D521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D521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D521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D521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D521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D521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D521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D521F"/>
    <w:rPr>
      <w:rFonts w:asciiTheme="majorHAnsi" w:eastAsiaTheme="majorEastAsia" w:hAnsiTheme="majorHAnsi" w:cstheme="majorBidi"/>
      <w:color w:val="0F4761" w:themeColor="accent1" w:themeShade="BF"/>
      <w:sz w:val="40"/>
      <w:szCs w:val="40"/>
      <w:lang w:val="et-EE"/>
    </w:rPr>
  </w:style>
  <w:style w:type="character" w:customStyle="1" w:styleId="Pealkiri2Mrk">
    <w:name w:val="Pealkiri 2 Märk"/>
    <w:basedOn w:val="Liguvaikefont"/>
    <w:link w:val="Pealkiri2"/>
    <w:uiPriority w:val="9"/>
    <w:semiHidden/>
    <w:rsid w:val="00AD521F"/>
    <w:rPr>
      <w:rFonts w:asciiTheme="majorHAnsi" w:eastAsiaTheme="majorEastAsia" w:hAnsiTheme="majorHAnsi" w:cstheme="majorBidi"/>
      <w:color w:val="0F4761" w:themeColor="accent1" w:themeShade="BF"/>
      <w:sz w:val="32"/>
      <w:szCs w:val="32"/>
      <w:lang w:val="et-EE"/>
    </w:rPr>
  </w:style>
  <w:style w:type="character" w:customStyle="1" w:styleId="Pealkiri3Mrk">
    <w:name w:val="Pealkiri 3 Märk"/>
    <w:basedOn w:val="Liguvaikefont"/>
    <w:link w:val="Pealkiri3"/>
    <w:uiPriority w:val="9"/>
    <w:semiHidden/>
    <w:rsid w:val="00AD521F"/>
    <w:rPr>
      <w:rFonts w:eastAsiaTheme="majorEastAsia" w:cstheme="majorBidi"/>
      <w:color w:val="0F4761" w:themeColor="accent1" w:themeShade="BF"/>
      <w:sz w:val="28"/>
      <w:szCs w:val="28"/>
      <w:lang w:val="et-EE"/>
    </w:rPr>
  </w:style>
  <w:style w:type="character" w:customStyle="1" w:styleId="Pealkiri4Mrk">
    <w:name w:val="Pealkiri 4 Märk"/>
    <w:basedOn w:val="Liguvaikefont"/>
    <w:link w:val="Pealkiri4"/>
    <w:uiPriority w:val="9"/>
    <w:semiHidden/>
    <w:rsid w:val="00AD521F"/>
    <w:rPr>
      <w:rFonts w:eastAsiaTheme="majorEastAsia" w:cstheme="majorBidi"/>
      <w:i/>
      <w:iCs/>
      <w:color w:val="0F4761" w:themeColor="accent1" w:themeShade="BF"/>
      <w:lang w:val="et-EE"/>
    </w:rPr>
  </w:style>
  <w:style w:type="character" w:customStyle="1" w:styleId="Pealkiri5Mrk">
    <w:name w:val="Pealkiri 5 Märk"/>
    <w:basedOn w:val="Liguvaikefont"/>
    <w:link w:val="Pealkiri5"/>
    <w:uiPriority w:val="9"/>
    <w:semiHidden/>
    <w:rsid w:val="00AD521F"/>
    <w:rPr>
      <w:rFonts w:eastAsiaTheme="majorEastAsia" w:cstheme="majorBidi"/>
      <w:color w:val="0F4761" w:themeColor="accent1" w:themeShade="BF"/>
      <w:lang w:val="et-EE"/>
    </w:rPr>
  </w:style>
  <w:style w:type="character" w:customStyle="1" w:styleId="Pealkiri6Mrk">
    <w:name w:val="Pealkiri 6 Märk"/>
    <w:basedOn w:val="Liguvaikefont"/>
    <w:link w:val="Pealkiri6"/>
    <w:uiPriority w:val="9"/>
    <w:semiHidden/>
    <w:rsid w:val="00AD521F"/>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AD521F"/>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AD521F"/>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AD521F"/>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AD5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D521F"/>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AD521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D521F"/>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AD521F"/>
    <w:pPr>
      <w:spacing w:before="160"/>
      <w:jc w:val="center"/>
    </w:pPr>
    <w:rPr>
      <w:i/>
      <w:iCs/>
      <w:color w:val="404040" w:themeColor="text1" w:themeTint="BF"/>
    </w:rPr>
  </w:style>
  <w:style w:type="character" w:customStyle="1" w:styleId="TsitaatMrk">
    <w:name w:val="Tsitaat Märk"/>
    <w:basedOn w:val="Liguvaikefont"/>
    <w:link w:val="Tsitaat"/>
    <w:uiPriority w:val="29"/>
    <w:rsid w:val="00AD521F"/>
    <w:rPr>
      <w:i/>
      <w:iCs/>
      <w:color w:val="404040" w:themeColor="text1" w:themeTint="BF"/>
      <w:lang w:val="et-EE"/>
    </w:rPr>
  </w:style>
  <w:style w:type="paragraph" w:styleId="Loendilik">
    <w:name w:val="List Paragraph"/>
    <w:basedOn w:val="Normaallaad"/>
    <w:uiPriority w:val="34"/>
    <w:qFormat/>
    <w:rsid w:val="00AD521F"/>
    <w:pPr>
      <w:ind w:left="720"/>
      <w:contextualSpacing/>
    </w:pPr>
  </w:style>
  <w:style w:type="character" w:styleId="Selgeltmrgatavrhutus">
    <w:name w:val="Intense Emphasis"/>
    <w:basedOn w:val="Liguvaikefont"/>
    <w:uiPriority w:val="21"/>
    <w:qFormat/>
    <w:rsid w:val="00AD521F"/>
    <w:rPr>
      <w:i/>
      <w:iCs/>
      <w:color w:val="0F4761" w:themeColor="accent1" w:themeShade="BF"/>
    </w:rPr>
  </w:style>
  <w:style w:type="paragraph" w:styleId="Selgeltmrgatavtsitaat">
    <w:name w:val="Intense Quote"/>
    <w:basedOn w:val="Normaallaad"/>
    <w:next w:val="Normaallaad"/>
    <w:link w:val="SelgeltmrgatavtsitaatMrk"/>
    <w:uiPriority w:val="30"/>
    <w:qFormat/>
    <w:rsid w:val="00AD5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D521F"/>
    <w:rPr>
      <w:i/>
      <w:iCs/>
      <w:color w:val="0F4761" w:themeColor="accent1" w:themeShade="BF"/>
      <w:lang w:val="et-EE"/>
    </w:rPr>
  </w:style>
  <w:style w:type="character" w:styleId="Selgeltmrgatavviide">
    <w:name w:val="Intense Reference"/>
    <w:basedOn w:val="Liguvaikefont"/>
    <w:uiPriority w:val="32"/>
    <w:qFormat/>
    <w:rsid w:val="00AD52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1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711</Words>
  <Characters>4057</Characters>
  <Application>Microsoft Office Word</Application>
  <DocSecurity>0</DocSecurity>
  <Lines>33</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Toomsalu</dc:creator>
  <cp:keywords/>
  <dc:description/>
  <cp:lastModifiedBy>Kaja Toomsalu</cp:lastModifiedBy>
  <cp:revision>7</cp:revision>
  <dcterms:created xsi:type="dcterms:W3CDTF">2024-05-13T11:50:00Z</dcterms:created>
  <dcterms:modified xsi:type="dcterms:W3CDTF">2024-05-13T12:18:00Z</dcterms:modified>
</cp:coreProperties>
</file>